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78.0" w:type="dxa"/>
        <w:jc w:val="left"/>
        <w:tblInd w:w="1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</w:tblBorders>
        <w:tblLayout w:type="fixed"/>
        <w:tblLook w:val="0000"/>
      </w:tblPr>
      <w:tblGrid>
        <w:gridCol w:w="2410"/>
        <w:gridCol w:w="371"/>
        <w:gridCol w:w="1727"/>
        <w:gridCol w:w="2438"/>
        <w:gridCol w:w="2532"/>
        <w:tblGridChange w:id="0">
          <w:tblGrid>
            <w:gridCol w:w="2410"/>
            <w:gridCol w:w="371"/>
            <w:gridCol w:w="1727"/>
            <w:gridCol w:w="2438"/>
            <w:gridCol w:w="2532"/>
          </w:tblGrid>
        </w:tblGridChange>
      </w:tblGrid>
      <w:tr>
        <w:trPr>
          <w:cantSplit w:val="0"/>
          <w:trHeight w:val="1395" w:hRule="atLeast"/>
          <w:tblHeader w:val="0"/>
        </w:trPr>
        <w:tc>
          <w:tcPr>
            <w:gridSpan w:val="2"/>
            <w:tcBorders>
              <w:top w:color="7f7f7f" w:space="0" w:sz="9" w:val="single"/>
              <w:left w:color="7f7f7f" w:space="0" w:sz="9" w:val="single"/>
              <w:bottom w:color="7f7f7f" w:space="0" w:sz="4" w:val="single"/>
              <w:right w:color="7f7f7f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384" w:lineRule="auto"/>
              <w:ind w:left="464" w:right="0" w:hanging="464"/>
              <w:jc w:val="center"/>
              <w:rPr>
                <w:rFonts w:ascii="Batang" w:cs="Batang" w:eastAsia="Batang" w:hAnsi="Batang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Batang" w:cs="Batang" w:eastAsia="Batang" w:hAnsi="Batang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  <w:drawing>
                <wp:inline distB="0" distT="0" distL="0" distR="0">
                  <wp:extent cx="1569720" cy="487680"/>
                  <wp:effectExtent b="0" l="0" r="0" t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9720" cy="48768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7f7f7f" w:space="0" w:sz="9" w:val="single"/>
              <w:left w:color="7f7f7f" w:space="0" w:sz="4" w:val="single"/>
              <w:bottom w:color="7f7f7f" w:space="0" w:sz="4" w:val="single"/>
              <w:right w:color="7f7f7f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</w:pBdr>
              <w:spacing w:after="0" w:line="240" w:lineRule="auto"/>
              <w:ind w:left="464" w:hanging="464"/>
              <w:jc w:val="center"/>
              <w:rPr/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color w:val="4c4c4c"/>
                <w:sz w:val="48"/>
                <w:szCs w:val="48"/>
                <w:rtl w:val="0"/>
              </w:rPr>
              <w:t xml:space="preserve">Press Release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7f7f7f" w:space="0" w:sz="9" w:val="single"/>
              <w:left w:color="7f7f7f" w:space="0" w:sz="4" w:val="single"/>
              <w:bottom w:color="7f7f7f" w:space="0" w:sz="4" w:val="single"/>
              <w:right w:color="7f7f7f" w:space="0" w:sz="9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</w:pBdr>
              <w:spacing w:after="0" w:line="240" w:lineRule="auto"/>
              <w:jc w:val="center"/>
              <w:rPr/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JEONJU International Film Festival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8" w:hRule="atLeast"/>
          <w:tblHeader w:val="0"/>
        </w:trPr>
        <w:tc>
          <w:tcPr>
            <w:tcBorders>
              <w:top w:color="7f7f7f" w:space="0" w:sz="4" w:val="single"/>
              <w:left w:color="7f7f7f" w:space="0" w:sz="9" w:val="single"/>
              <w:bottom w:color="7f7f7f" w:space="0" w:sz="4" w:val="single"/>
              <w:right w:color="7f7f7f" w:space="0" w:sz="4" w:val="single"/>
            </w:tcBorders>
            <w:tcMar>
              <w:top w:w="57.0" w:type="dxa"/>
              <w:left w:w="28.0" w:type="dxa"/>
              <w:bottom w:w="57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</w:pBd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Distribution date</w:t>
            </w:r>
          </w:p>
        </w:tc>
        <w:tc>
          <w:tcPr>
            <w:gridSpan w:val="2"/>
            <w:tcBorders>
              <w:top w:color="7f7f7f" w:space="0" w:sz="4" w:val="single"/>
              <w:left w:color="7f7f7f" w:space="0" w:sz="4" w:val="single"/>
              <w:bottom w:color="7f7f7f" w:space="0" w:sz="4" w:val="single"/>
              <w:right w:color="7f7f7f" w:space="0" w:sz="4" w:val="single"/>
            </w:tcBorders>
            <w:tcMar>
              <w:top w:w="57.0" w:type="dxa"/>
              <w:left w:w="28.0" w:type="dxa"/>
              <w:bottom w:w="57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</w:pBd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2025. 02. 0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7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.</w:t>
            </w:r>
          </w:p>
        </w:tc>
        <w:tc>
          <w:tcPr>
            <w:tcBorders>
              <w:top w:color="7f7f7f" w:space="0" w:sz="4" w:val="single"/>
              <w:left w:color="7f7f7f" w:space="0" w:sz="4" w:val="single"/>
              <w:bottom w:color="7f7f7f" w:space="0" w:sz="4" w:val="single"/>
              <w:right w:color="7f7f7f" w:space="0" w:sz="4" w:val="single"/>
            </w:tcBorders>
            <w:tcMar>
              <w:top w:w="57.0" w:type="dxa"/>
              <w:left w:w="28.0" w:type="dxa"/>
              <w:bottom w:w="57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</w:pBd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Requested release date</w:t>
            </w:r>
          </w:p>
        </w:tc>
        <w:tc>
          <w:tcPr>
            <w:tcBorders>
              <w:top w:color="7f7f7f" w:space="0" w:sz="4" w:val="single"/>
              <w:left w:color="7f7f7f" w:space="0" w:sz="4" w:val="single"/>
              <w:bottom w:color="7f7f7f" w:space="0" w:sz="4" w:val="single"/>
              <w:right w:color="7f7f7f" w:space="0" w:sz="9" w:val="single"/>
            </w:tcBorders>
            <w:tcMar>
              <w:top w:w="57.0" w:type="dxa"/>
              <w:left w:w="28.0" w:type="dxa"/>
              <w:bottom w:w="57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</w:pBd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2025. 02. 0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7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.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7f7f7f" w:space="0" w:sz="4" w:val="single"/>
              <w:left w:color="7f7f7f" w:space="0" w:sz="9" w:val="single"/>
              <w:bottom w:color="7f7f7f" w:space="0" w:sz="4" w:val="single"/>
              <w:right w:color="7f7f7f" w:space="0" w:sz="4" w:val="single"/>
            </w:tcBorders>
            <w:tcMar>
              <w:top w:w="57.0" w:type="dxa"/>
              <w:left w:w="28.0" w:type="dxa"/>
              <w:bottom w:w="57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</w:pBd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Department in charge</w:t>
            </w:r>
          </w:p>
        </w:tc>
        <w:tc>
          <w:tcPr>
            <w:gridSpan w:val="2"/>
            <w:tcBorders>
              <w:top w:color="7f7f7f" w:space="0" w:sz="4" w:val="single"/>
              <w:left w:color="7f7f7f" w:space="0" w:sz="4" w:val="single"/>
              <w:bottom w:color="7f7f7f" w:space="0" w:sz="4" w:val="single"/>
              <w:right w:color="7f7f7f" w:space="0" w:sz="4" w:val="single"/>
            </w:tcBorders>
            <w:tcMar>
              <w:top w:w="57.0" w:type="dxa"/>
              <w:left w:w="28.0" w:type="dxa"/>
              <w:bottom w:w="57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</w:pBd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Publicity Team</w:t>
            </w:r>
          </w:p>
        </w:tc>
        <w:tc>
          <w:tcPr>
            <w:tcBorders>
              <w:top w:color="7f7f7f" w:space="0" w:sz="4" w:val="single"/>
              <w:left w:color="7f7f7f" w:space="0" w:sz="4" w:val="single"/>
              <w:bottom w:color="7f7f7f" w:space="0" w:sz="4" w:val="single"/>
              <w:right w:color="7f7f7f" w:space="0" w:sz="4" w:val="single"/>
            </w:tcBorders>
            <w:tcMar>
              <w:top w:w="57.0" w:type="dxa"/>
              <w:left w:w="28.0" w:type="dxa"/>
              <w:bottom w:w="57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</w:pBd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Contact</w:t>
            </w:r>
          </w:p>
        </w:tc>
        <w:tc>
          <w:tcPr>
            <w:tcBorders>
              <w:top w:color="7f7f7f" w:space="0" w:sz="4" w:val="single"/>
              <w:left w:color="7f7f7f" w:space="0" w:sz="4" w:val="single"/>
              <w:bottom w:color="7f7f7f" w:space="0" w:sz="4" w:val="single"/>
              <w:right w:color="7f7f7f" w:space="0" w:sz="9" w:val="single"/>
            </w:tcBorders>
            <w:tcMar>
              <w:top w:w="57.0" w:type="dxa"/>
              <w:left w:w="28.0" w:type="dxa"/>
              <w:bottom w:w="57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</w:pBd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foreign@jeonjufest.kr</w:t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gridSpan w:val="5"/>
            <w:tcBorders>
              <w:top w:color="7f7f7f" w:space="0" w:sz="9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tcMar>
              <w:top w:w="57.0" w:type="dxa"/>
              <w:left w:w="28.0" w:type="dxa"/>
              <w:bottom w:w="57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336" w:lineRule="auto"/>
              <w:ind w:left="0" w:right="0" w:firstLine="0"/>
              <w:jc w:val="left"/>
              <w:rPr>
                <w:rFonts w:ascii="Malgun Gothic" w:cs="Malgun Gothic" w:eastAsia="Malgun Gothic" w:hAnsi="Malgun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98" w:hRule="atLeast"/>
          <w:tblHeader w:val="0"/>
        </w:trPr>
        <w:tc>
          <w:tcPr>
            <w:gridSpan w:val="5"/>
            <w:tcBorders>
              <w:top w:color="000000" w:space="0" w:sz="5" w:val="single"/>
              <w:left w:color="7f7f7f" w:space="0" w:sz="4" w:val="single"/>
              <w:bottom w:color="000000" w:space="0" w:sz="6" w:val="single"/>
              <w:right w:color="7f7f7f" w:space="0" w:sz="4" w:val="single"/>
            </w:tcBorders>
            <w:shd w:fill="faf3db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</w:pBdr>
              <w:spacing w:after="0" w:line="276" w:lineRule="auto"/>
              <w:jc w:val="center"/>
              <w:rPr>
                <w:b w:val="1"/>
                <w:color w:val="b21010"/>
                <w:sz w:val="40"/>
                <w:szCs w:val="40"/>
              </w:rPr>
            </w:pPr>
            <w:r w:rsidDel="00000000" w:rsidR="00000000" w:rsidRPr="00000000">
              <w:rPr>
                <w:b w:val="1"/>
                <w:color w:val="b21010"/>
                <w:sz w:val="40"/>
                <w:szCs w:val="40"/>
                <w:rtl w:val="0"/>
              </w:rPr>
              <w:t xml:space="preserve">The 26th JEONJU International Film Festival</w:t>
            </w:r>
          </w:p>
          <w:p w:rsidR="00000000" w:rsidDel="00000000" w:rsidP="00000000" w:rsidRDefault="00000000" w:rsidRPr="00000000" w14:paraId="00000017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</w:pBdr>
              <w:spacing w:after="0" w:line="276" w:lineRule="auto"/>
              <w:jc w:val="center"/>
              <w:rPr>
                <w:b w:val="1"/>
                <w:color w:val="b2101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b21010"/>
                <w:sz w:val="32"/>
                <w:szCs w:val="32"/>
                <w:rtl w:val="0"/>
              </w:rPr>
              <w:t xml:space="preserve">Korean Films Set New Record for Most Submissions </w:t>
            </w:r>
          </w:p>
          <w:p w:rsidR="00000000" w:rsidDel="00000000" w:rsidP="00000000" w:rsidRDefault="00000000" w:rsidRPr="00000000" w14:paraId="00000018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</w:pBdr>
              <w:spacing w:after="0" w:line="276" w:lineRule="auto"/>
              <w:jc w:val="center"/>
              <w:rPr>
                <w:rFonts w:ascii="Malgun Gothic" w:cs="Malgun Gothic" w:eastAsia="Malgun Gothic" w:hAnsi="Malgun Gothic"/>
                <w:color w:val="b21010"/>
              </w:rPr>
            </w:pPr>
            <w:r w:rsidDel="00000000" w:rsidR="00000000" w:rsidRPr="00000000">
              <w:rPr>
                <w:b w:val="1"/>
                <w:color w:val="b21010"/>
                <w:sz w:val="32"/>
                <w:szCs w:val="32"/>
                <w:rtl w:val="0"/>
              </w:rPr>
              <w:t xml:space="preserve">for the Second Consecutive Year!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</w:pBdr>
              <w:spacing w:after="0" w:line="276" w:lineRule="auto"/>
              <w:jc w:val="center"/>
              <w:rPr>
                <w:color w:val="b21010"/>
              </w:rPr>
            </w:pPr>
            <w:r w:rsidDel="00000000" w:rsidR="00000000" w:rsidRPr="00000000">
              <w:rPr>
                <w:color w:val="b21010"/>
                <w:rtl w:val="0"/>
              </w:rPr>
              <w:t xml:space="preserve">- A total of 1,835 Korean films were submitted, an increase of 234 from the previous year…</w:t>
            </w:r>
          </w:p>
          <w:p w:rsidR="00000000" w:rsidDel="00000000" w:rsidP="00000000" w:rsidRDefault="00000000" w:rsidRPr="00000000" w14:paraId="0000001A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</w:pBdr>
              <w:spacing w:after="0" w:line="276" w:lineRule="auto"/>
              <w:jc w:val="center"/>
              <w:rPr>
                <w:i w:val="1"/>
                <w:color w:val="b21010"/>
              </w:rPr>
            </w:pPr>
            <w:r w:rsidDel="00000000" w:rsidR="00000000" w:rsidRPr="00000000">
              <w:rPr>
                <w:i w:val="1"/>
                <w:color w:val="b21010"/>
                <w:rtl w:val="0"/>
              </w:rPr>
              <w:t xml:space="preserve">A remarkable achievement amid the Korean film industry’s depression</w:t>
            </w:r>
          </w:p>
          <w:p w:rsidR="00000000" w:rsidDel="00000000" w:rsidP="00000000" w:rsidRDefault="00000000" w:rsidRPr="00000000" w14:paraId="0000001B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</w:pBdr>
              <w:spacing w:after="0" w:line="276" w:lineRule="auto"/>
              <w:jc w:val="center"/>
              <w:rPr>
                <w:color w:val="b21010"/>
              </w:rPr>
            </w:pPr>
            <w:r w:rsidDel="00000000" w:rsidR="00000000" w:rsidRPr="00000000">
              <w:rPr>
                <w:color w:val="b21010"/>
                <w:rtl w:val="0"/>
              </w:rPr>
              <w:t xml:space="preserve">- Submissions include 165 films for Korean Competition, 1,510 films for Korean Competition for Shorts, 46 films for Local Cinema, and</w:t>
            </w:r>
            <w:r w:rsidDel="00000000" w:rsidR="00000000" w:rsidRPr="00000000">
              <w:rPr>
                <w:color w:val="b21010"/>
                <w:rtl w:val="0"/>
              </w:rPr>
              <w:t xml:space="preserve"> 114 films for Non-Competition Section (Feature Films)</w:t>
            </w:r>
          </w:p>
          <w:p w:rsidR="00000000" w:rsidDel="00000000" w:rsidP="00000000" w:rsidRDefault="00000000" w:rsidRPr="00000000" w14:paraId="0000001C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</w:pBdr>
              <w:spacing w:after="0" w:line="276" w:lineRule="auto"/>
              <w:jc w:val="center"/>
              <w:rPr>
                <w:color w:val="b21010"/>
                <w:sz w:val="8"/>
                <w:szCs w:val="8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widowControl w:val="1"/>
        <w:spacing w:after="0"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1"/>
        <w:spacing w:after="0"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 JEONJU International Film Festival(JEONJU IFF, Co-Directors Min Sungwook and Jung Junho) achieved the highest number of submissions for the second consecutive year. A total of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1,835 films were submitted this year, an increase of 234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films compared to last year, marking a significant achievement despite challenges in the Korean film industry. </w:t>
      </w:r>
    </w:p>
    <w:p w:rsidR="00000000" w:rsidDel="00000000" w:rsidP="00000000" w:rsidRDefault="00000000" w:rsidRPr="00000000" w14:paraId="00000023">
      <w:pPr>
        <w:widowControl w:val="1"/>
        <w:spacing w:after="0"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1"/>
        <w:spacing w:after="0" w:line="276" w:lineRule="auto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</w:rPr>
        <w:drawing>
          <wp:inline distB="114300" distT="114300" distL="114300" distR="114300">
            <wp:extent cx="4659150" cy="3097018"/>
            <wp:effectExtent b="0" l="0" r="0" t="0"/>
            <wp:docPr id="2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59150" cy="309701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1"/>
        <w:spacing w:after="0" w:line="276" w:lineRule="auto"/>
        <w:jc w:val="center"/>
        <w:rPr>
          <w:rFonts w:ascii="Arial" w:cs="Arial" w:eastAsia="Arial" w:hAnsi="Arial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z w:val="21"/>
          <w:szCs w:val="21"/>
          <w:rtl w:val="0"/>
        </w:rPr>
        <w:t xml:space="preserve">▲ The 25th JEONJU IFF Award Ceremony</w:t>
      </w:r>
    </w:p>
    <w:p w:rsidR="00000000" w:rsidDel="00000000" w:rsidP="00000000" w:rsidRDefault="00000000" w:rsidRPr="00000000" w14:paraId="00000026">
      <w:pPr>
        <w:widowControl w:val="1"/>
        <w:spacing w:after="0"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1"/>
        <w:spacing w:after="0" w:line="276" w:lineRule="auto"/>
        <w:rPr>
          <w:rFonts w:ascii="Arial" w:cs="Arial" w:eastAsia="Arial" w:hAnsi="Arial"/>
          <w:sz w:val="22"/>
          <w:szCs w:val="22"/>
          <w:highlight w:val="yellow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 26th JEONJU IFF opened its submission for Korean films for a three-month period, from November to January.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widowControl w:val="1"/>
        <w:spacing w:after="0"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Korean Films sections consist of: </w:t>
      </w:r>
    </w:p>
    <w:p w:rsidR="00000000" w:rsidDel="00000000" w:rsidP="00000000" w:rsidRDefault="00000000" w:rsidRPr="00000000" w14:paraId="00000029">
      <w:pPr>
        <w:widowControl w:val="1"/>
        <w:numPr>
          <w:ilvl w:val="0"/>
          <w:numId w:val="1"/>
        </w:numPr>
        <w:spacing w:after="0"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Korean Competition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: for directors’ first or second feature films </w:t>
      </w:r>
    </w:p>
    <w:p w:rsidR="00000000" w:rsidDel="00000000" w:rsidP="00000000" w:rsidRDefault="00000000" w:rsidRPr="00000000" w14:paraId="0000002A">
      <w:pPr>
        <w:widowControl w:val="1"/>
        <w:numPr>
          <w:ilvl w:val="0"/>
          <w:numId w:val="1"/>
        </w:numPr>
        <w:spacing w:after="0"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Korean Competition for Shorts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for short films of various genres and themes</w:t>
      </w:r>
    </w:p>
    <w:p w:rsidR="00000000" w:rsidDel="00000000" w:rsidP="00000000" w:rsidRDefault="00000000" w:rsidRPr="00000000" w14:paraId="0000002B">
      <w:pPr>
        <w:widowControl w:val="1"/>
        <w:numPr>
          <w:ilvl w:val="0"/>
          <w:numId w:val="1"/>
        </w:numPr>
        <w:spacing w:after="0"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Local Cinema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: for films made by directors or producers based in Jeonbuk State,students from universities in Jeonbuk, or where over 50% of the shooting locations are in Jeonbuk.</w:t>
      </w:r>
    </w:p>
    <w:p w:rsidR="00000000" w:rsidDel="00000000" w:rsidP="00000000" w:rsidRDefault="00000000" w:rsidRPr="00000000" w14:paraId="0000002C">
      <w:pPr>
        <w:widowControl w:val="1"/>
        <w:numPr>
          <w:ilvl w:val="0"/>
          <w:numId w:val="1"/>
        </w:numPr>
        <w:spacing w:after="0"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Non-Competition Section (Feature Films)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: open to all feature films of any genre</w:t>
      </w:r>
    </w:p>
    <w:p w:rsidR="00000000" w:rsidDel="00000000" w:rsidP="00000000" w:rsidRDefault="00000000" w:rsidRPr="00000000" w14:paraId="0000002D">
      <w:pPr>
        <w:widowControl w:val="1"/>
        <w:spacing w:after="240" w:before="240"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As a result, a total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of 1,835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films were submitted, including 165 films for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Korean Competition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1,510 films for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Korean Competition for Shorts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46 films for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Local Cinema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and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114 films for the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non-competition section (feature films)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This marks an increase of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234 films from last year’s 1,601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submissions. Given the ongoing challenges in the Korean film industry, setting new submission records for two consecutive years is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truly remarkable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For these notable results, programmer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Moon Seok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expressed his gratitude to filmmakers, saying,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“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 sincerely appreciate the dedication to filmmaking despite numerous challenges.” He added, "Like the diverse Korean films screened at recent editions of the JEONJU IFF, I hope these films will resonate with both audiences and critics."</w:t>
      </w:r>
    </w:p>
    <w:p w:rsidR="00000000" w:rsidDel="00000000" w:rsidP="00000000" w:rsidRDefault="00000000" w:rsidRPr="00000000" w14:paraId="0000002E">
      <w:pPr>
        <w:widowControl w:val="1"/>
        <w:spacing w:after="240" w:before="240"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In each section,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Korean Competition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received 165 submissions, an increase of 31 films from last year's 134 submissions. By genre, dramas dominated with 117 films (70.9%), followed by 33 documentaries (20.0%), 9 experimental films (5.5%), 5 films from other genres (3.0%), and one animated film (0.6%). At the same time,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Korean Competition for Shorts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saw an increase of 178 films compared to last year’s 1,332 submissions. By genre, drama accounted for the highest proportion with 1,215 films (80.5%), which were followed by 122 animated films (8.1%), 79 experimental films (5.2%), 72 documentary films (4.8%), and 22 other genres (1.5%).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In the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non-competition (feature films)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an increase of 26 films was recorded compared to last year’s 88 submissions.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By genre, dramas took the largest proportion with 68 films (59.7%), followed by 36 documentaries (31.6%), 7 experimental films (6.1%), and 3 films from other genres (2.6%).</w:t>
      </w:r>
    </w:p>
    <w:p w:rsidR="00000000" w:rsidDel="00000000" w:rsidP="00000000" w:rsidRDefault="00000000" w:rsidRPr="00000000" w14:paraId="0000002F">
      <w:pPr>
        <w:widowControl w:val="1"/>
        <w:spacing w:after="240" w:before="240"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Meanwhile, the 26th JEONJU IFF closed its submissions with 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total of 2,497 films,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including 662 entries for the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International Competition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and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1,835 Korean films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 This marks an increase of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149 films from last year’s total of 2,348 (2,260 films excluding non-competition feature films)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setting a new record for the JEONJU IFF.</w:t>
      </w:r>
    </w:p>
    <w:p w:rsidR="00000000" w:rsidDel="00000000" w:rsidP="00000000" w:rsidRDefault="00000000" w:rsidRPr="00000000" w14:paraId="00000030">
      <w:pPr>
        <w:widowControl w:val="1"/>
        <w:spacing w:after="240" w:before="240"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 final selection of Korean films for the competition will be announced in March 2025, and screenings of the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non-competition (feature films)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at a press conference for the screening announcement. The 26th JEONJU IFF will be held from April 30 to May 9 throughout Jeonju.</w:t>
      </w:r>
    </w:p>
    <w:p w:rsidR="00000000" w:rsidDel="00000000" w:rsidP="00000000" w:rsidRDefault="00000000" w:rsidRPr="00000000" w14:paraId="00000031">
      <w:pPr>
        <w:widowControl w:val="1"/>
        <w:spacing w:after="0" w:line="276" w:lineRule="auto"/>
        <w:jc w:val="left"/>
        <w:rPr/>
      </w:pPr>
      <w:r w:rsidDel="00000000" w:rsidR="00000000" w:rsidRPr="00000000">
        <w:rPr>
          <w:rtl w:val="0"/>
        </w:rPr>
      </w:r>
    </w:p>
    <w:sectPr>
      <w:headerReference r:id="rId8" w:type="default"/>
      <w:pgSz w:h="16838" w:w="11906" w:orient="portrait"/>
      <w:pgMar w:bottom="850" w:top="850" w:left="1134" w:right="1134" w:header="567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Malgun Gothic"/>
  <w:font w:name="Georgia"/>
  <w:font w:name="Arial"/>
  <w:font w:name="Batang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160" w:before="0" w:line="259" w:lineRule="auto"/>
      <w:ind w:left="0" w:right="0" w:firstLine="0"/>
      <w:jc w:val="right"/>
      <w:rPr>
        <w:rFonts w:ascii="Malgun Gothic" w:cs="Malgun Gothic" w:eastAsia="Malgun Gothic" w:hAnsi="Malgun Gothic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Malgun Gothic" w:cs="Malgun Gothic" w:eastAsia="Malgun Gothic" w:hAnsi="Malgun Gothic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Press Release 0</w:t>
    </w:r>
    <w:r w:rsidDel="00000000" w:rsidR="00000000" w:rsidRPr="00000000">
      <w:rPr>
        <w:i w:val="1"/>
        <w:rtl w:val="0"/>
      </w:rPr>
      <w:t xml:space="preserve">5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Malgun Gothic" w:cs="Malgun Gothic" w:eastAsia="Malgun Gothic" w:hAnsi="Malgun Gothic"/>
        <w:lang w:val="en-US"/>
      </w:rPr>
    </w:rPrDefault>
    <w:pPrDefault>
      <w:pPr>
        <w:widowControl w:val="0"/>
        <w:spacing w:after="160" w:line="259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jpg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